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3GPP TSG-RAN WG</w:t>
      </w:r>
      <w:r w:rsidR="003C6249">
        <w:rPr>
          <w:b/>
          <w:sz w:val="24"/>
          <w:szCs w:val="24"/>
        </w:rPr>
        <w:t>3</w:t>
      </w:r>
      <w:r w:rsidRPr="005F705D">
        <w:rPr>
          <w:b/>
          <w:sz w:val="24"/>
          <w:szCs w:val="24"/>
        </w:rPr>
        <w:t xml:space="preserve"> Meeting #1</w:t>
      </w:r>
      <w:r w:rsidR="00811FCD">
        <w:rPr>
          <w:b/>
          <w:sz w:val="24"/>
          <w:szCs w:val="24"/>
        </w:rPr>
        <w:t>0</w:t>
      </w:r>
      <w:r w:rsidR="003C6249">
        <w:rPr>
          <w:b/>
          <w:sz w:val="24"/>
          <w:szCs w:val="24"/>
        </w:rPr>
        <w:t>4</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ED30DF" w:rsidRPr="00ED30DF">
        <w:rPr>
          <w:b/>
          <w:sz w:val="24"/>
          <w:szCs w:val="24"/>
        </w:rPr>
        <w:t>R3-192631</w:t>
      </w:r>
    </w:p>
    <w:p w:rsidR="000F259D" w:rsidRDefault="00811FCD"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w:t>
      </w:r>
      <w:r w:rsidR="00AF733C" w:rsidRPr="00AF733C">
        <w:rPr>
          <w:b/>
          <w:sz w:val="24"/>
          <w:szCs w:val="24"/>
          <w:vertAlign w:val="superscript"/>
        </w:rPr>
        <w:t>th</w:t>
      </w:r>
      <w:r w:rsidR="00AF733C">
        <w:rPr>
          <w:b/>
          <w:sz w:val="24"/>
          <w:szCs w:val="24"/>
          <w:vertAlign w:val="superscript"/>
        </w:rPr>
        <w:t xml:space="preserve"> </w:t>
      </w:r>
      <w:r>
        <w:rPr>
          <w:b/>
          <w:sz w:val="24"/>
          <w:szCs w:val="24"/>
        </w:rPr>
        <w:t>May</w:t>
      </w:r>
      <w:r w:rsidR="00AF733C">
        <w:rPr>
          <w:b/>
          <w:sz w:val="24"/>
          <w:szCs w:val="24"/>
        </w:rPr>
        <w:t xml:space="preserve"> – 1</w:t>
      </w:r>
      <w:r>
        <w:rPr>
          <w:b/>
          <w:sz w:val="24"/>
          <w:szCs w:val="24"/>
        </w:rPr>
        <w:t>7</w:t>
      </w:r>
      <w:r w:rsidR="00AF733C" w:rsidRPr="00AF733C">
        <w:rPr>
          <w:b/>
          <w:sz w:val="24"/>
          <w:szCs w:val="24"/>
          <w:vertAlign w:val="superscript"/>
        </w:rPr>
        <w:t>th</w:t>
      </w:r>
      <w:r w:rsidR="00AF733C">
        <w:rPr>
          <w:b/>
          <w:sz w:val="24"/>
          <w:szCs w:val="24"/>
        </w:rPr>
        <w:t xml:space="preserve"> </w:t>
      </w:r>
      <w:r>
        <w:rPr>
          <w:b/>
          <w:sz w:val="24"/>
          <w:szCs w:val="24"/>
        </w:rPr>
        <w:t>May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w:t>
      </w:r>
      <w:r w:rsidR="00E21701">
        <w:rPr>
          <w:b/>
          <w:sz w:val="24"/>
          <w:szCs w:val="24"/>
        </w:rPr>
        <w:t>3.2.1.3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FB5F8D" w:rsidRPr="00FB5F8D">
        <w:rPr>
          <w:b/>
          <w:sz w:val="24"/>
          <w:szCs w:val="24"/>
        </w:rPr>
        <w:t>IP address assignment for IAB nodes</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F91678" w:rsidRDefault="00F91678" w:rsidP="004A7002">
      <w:pPr>
        <w:rPr>
          <w:rFonts w:ascii="Calibri" w:eastAsia="Malgun Gothic" w:hAnsi="Calibri" w:cs="Batang"/>
          <w:lang w:val="en-GB" w:eastAsia="ko-KR"/>
        </w:rPr>
      </w:pPr>
      <w:r>
        <w:rPr>
          <w:rFonts w:ascii="Calibri" w:eastAsia="Malgun Gothic" w:hAnsi="Calibri" w:cs="Batang"/>
          <w:noProof/>
          <w:lang w:val="en-GB" w:eastAsia="ko-KR"/>
        </w:rPr>
        <mc:AlternateContent>
          <mc:Choice Requires="wps">
            <w:drawing>
              <wp:anchor distT="0" distB="0" distL="114300" distR="114300" simplePos="0" relativeHeight="251659264" behindDoc="0" locked="0" layoutInCell="1" allowOverlap="1">
                <wp:simplePos x="0" y="0"/>
                <wp:positionH relativeFrom="column">
                  <wp:posOffset>152400</wp:posOffset>
                </wp:positionH>
                <wp:positionV relativeFrom="paragraph">
                  <wp:posOffset>226695</wp:posOffset>
                </wp:positionV>
                <wp:extent cx="6334125" cy="32575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334125" cy="3257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868864" id="Rectangle 2" o:spid="_x0000_s1026" style="position:absolute;margin-left:12pt;margin-top:17.85pt;width:498.75pt;height:2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" filled="f" strokecolor="black [3213]" strokeweight="1pt"/>
            </w:pict>
          </mc:Fallback>
        </mc:AlternateContent>
      </w:r>
      <w:r>
        <w:rPr>
          <w:rFonts w:ascii="Calibri" w:eastAsia="Malgun Gothic" w:hAnsi="Calibri" w:cs="Batang"/>
          <w:lang w:val="en-GB" w:eastAsia="ko-KR"/>
        </w:rPr>
        <w:t xml:space="preserve">The following objectives are included in the IAB WID [1]: </w:t>
      </w:r>
    </w:p>
    <w:p w:rsidR="00F91678" w:rsidRDefault="00F91678" w:rsidP="00F91678">
      <w:pPr>
        <w:pStyle w:val="maintext"/>
        <w:numPr>
          <w:ilvl w:val="0"/>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Pr>
          <w:rFonts w:eastAsia="Times New Roman" w:cs="Times New Roman"/>
          <w:lang w:eastAsia="en-US"/>
        </w:rPr>
        <w:t>gNB</w:t>
      </w:r>
      <w:proofErr w:type="spellEnd"/>
      <w:r>
        <w:rPr>
          <w:rFonts w:eastAsia="Times New Roman" w:cs="Times New Roman"/>
          <w:lang w:eastAsia="en-US"/>
        </w:rPr>
        <w:t xml:space="preserve"> functionality to serve as an IAB-donor following architecture 1a [RAN3, RAN2]</w:t>
      </w:r>
    </w:p>
    <w:p w:rsidR="00F91678" w:rsidRDefault="00F91678" w:rsidP="00F91678">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CU-CP for topology, route and resource management [RAN3-led]. </w:t>
      </w:r>
      <w:bookmarkStart w:id="2" w:name="_Hlk531254201"/>
    </w:p>
    <w:p w:rsidR="00F91678" w:rsidRPr="00F91678" w:rsidRDefault="00F91678" w:rsidP="00F91678">
      <w:pPr>
        <w:pStyle w:val="maintext"/>
        <w:numPr>
          <w:ilvl w:val="1"/>
          <w:numId w:val="11"/>
        </w:numPr>
        <w:spacing w:line="240" w:lineRule="auto"/>
        <w:ind w:firstLineChars="0"/>
        <w:jc w:val="left"/>
        <w:rPr>
          <w:rFonts w:eastAsia="Times New Roman" w:cs="Times New Roman"/>
          <w:highlight w:val="yellow"/>
          <w:lang w:eastAsia="en-US"/>
        </w:rPr>
      </w:pPr>
      <w:r w:rsidRPr="00F91678">
        <w:rPr>
          <w:rFonts w:eastAsia="Times New Roman" w:cs="Times New Roman"/>
          <w:highlight w:val="yellow"/>
          <w:lang w:eastAsia="en-US"/>
        </w:rPr>
        <w:t xml:space="preserve">Support for IP </w:t>
      </w:r>
      <w:proofErr w:type="spellStart"/>
      <w:r w:rsidRPr="00F91678">
        <w:rPr>
          <w:rFonts w:eastAsia="Times New Roman" w:cs="Times New Roman"/>
          <w:highlight w:val="yellow"/>
          <w:lang w:eastAsia="en-US"/>
        </w:rPr>
        <w:t>routability</w:t>
      </w:r>
      <w:proofErr w:type="spellEnd"/>
      <w:r w:rsidRPr="00F91678">
        <w:rPr>
          <w:rFonts w:eastAsia="Times New Roman" w:cs="Times New Roman"/>
          <w:highlight w:val="yellow"/>
          <w:lang w:eastAsia="en-US"/>
        </w:rPr>
        <w:t xml:space="preserve"> to IAB-node (e.g. from CU, OAM) [RAN3-led].</w:t>
      </w:r>
    </w:p>
    <w:bookmarkEnd w:id="2"/>
    <w:p w:rsidR="00F91678" w:rsidRDefault="00F91678" w:rsidP="00F91678">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Bearer mapping function on </w:t>
      </w:r>
      <w:proofErr w:type="spellStart"/>
      <w:r>
        <w:rPr>
          <w:rFonts w:eastAsia="Times New Roman" w:cs="Times New Roman"/>
          <w:lang w:eastAsia="en-US"/>
        </w:rPr>
        <w:t>gNB</w:t>
      </w:r>
      <w:proofErr w:type="spellEnd"/>
      <w:r>
        <w:rPr>
          <w:rFonts w:eastAsia="Times New Roman" w:cs="Times New Roman"/>
          <w:lang w:eastAsia="en-US"/>
        </w:rPr>
        <w:t xml:space="preserve"> DU to map downlink traffic of one or many UE-bearers to a BH RLC-channel [RAN2-led]. </w:t>
      </w:r>
    </w:p>
    <w:p w:rsidR="00F91678" w:rsidRDefault="00F91678" w:rsidP="00F91678">
      <w:pPr>
        <w:pStyle w:val="maintext"/>
        <w:numPr>
          <w:ilvl w:val="0"/>
          <w:numId w:val="11"/>
        </w:numPr>
        <w:spacing w:line="240" w:lineRule="auto"/>
        <w:ind w:firstLineChars="0"/>
        <w:jc w:val="left"/>
        <w:rPr>
          <w:rFonts w:eastAsia="Times New Roman" w:cs="Times New Roman"/>
          <w:lang w:eastAsia="en-US"/>
        </w:rPr>
      </w:pPr>
      <w:bookmarkStart w:id="3" w:name="_Hlk530593150"/>
      <w:r>
        <w:rPr>
          <w:rFonts w:eastAsia="Times New Roman" w:cs="Times New Roman"/>
          <w:lang w:eastAsia="en-US"/>
        </w:rPr>
        <w:t>Specification of signalling for L2 transport and resource management</w:t>
      </w:r>
      <w:bookmarkEnd w:id="3"/>
      <w:r>
        <w:rPr>
          <w:rFonts w:eastAsia="Times New Roman" w:cs="Times New Roman"/>
          <w:lang w:eastAsia="en-US"/>
        </w:rPr>
        <w:t xml:space="preserve"> [RAN2-led, RAN3, RAN1]:</w:t>
      </w:r>
    </w:p>
    <w:p w:rsidR="00F91678" w:rsidRDefault="00F91678" w:rsidP="00F91678">
      <w:pPr>
        <w:pStyle w:val="maintext"/>
        <w:numPr>
          <w:ilvl w:val="1"/>
          <w:numId w:val="11"/>
        </w:numPr>
        <w:spacing w:line="240" w:lineRule="auto"/>
        <w:ind w:firstLineChars="0"/>
        <w:jc w:val="left"/>
        <w:rPr>
          <w:rFonts w:eastAsia="Times New Roman" w:cs="Times New Roman"/>
          <w:lang w:eastAsia="en-US"/>
        </w:rPr>
      </w:pPr>
      <w:bookmarkStart w:id="4" w:name="_Hlk530558816"/>
      <w:bookmarkStart w:id="5"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4"/>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5"/>
    <w:p w:rsidR="00F91678" w:rsidRPr="00F91678" w:rsidRDefault="00F91678" w:rsidP="00F91678">
      <w:pPr>
        <w:pStyle w:val="maintext"/>
        <w:numPr>
          <w:ilvl w:val="1"/>
          <w:numId w:val="11"/>
        </w:numPr>
        <w:spacing w:line="240" w:lineRule="auto"/>
        <w:ind w:firstLineChars="0"/>
        <w:jc w:val="left"/>
        <w:rPr>
          <w:rFonts w:eastAsia="Times New Roman" w:cs="Times New Roman"/>
          <w:highlight w:val="yellow"/>
          <w:lang w:eastAsia="en-US"/>
        </w:rPr>
      </w:pPr>
      <w:r w:rsidRPr="00F91678">
        <w:rPr>
          <w:rFonts w:eastAsia="Times New Roman" w:cs="Times New Roman"/>
          <w:highlight w:val="yellow"/>
          <w:lang w:eastAsia="en-US"/>
        </w:rPr>
        <w:t>Specification of an IP address allocation mechanism for the IAB-nodes [RAN3].</w:t>
      </w:r>
      <w:r w:rsidRPr="00F91678" w:rsidDel="00D83C0E">
        <w:rPr>
          <w:rFonts w:eastAsia="Times New Roman" w:cs="Times New Roman"/>
          <w:highlight w:val="yellow"/>
          <w:lang w:eastAsia="en-US"/>
        </w:rPr>
        <w:t xml:space="preserve"> </w:t>
      </w:r>
    </w:p>
    <w:p w:rsidR="00F91678" w:rsidRDefault="00F91678" w:rsidP="00F91678">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F91678" w:rsidRPr="00553262" w:rsidRDefault="00F91678" w:rsidP="00F91678">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F91678" w:rsidRDefault="00F91678" w:rsidP="00F91678">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F91678" w:rsidRDefault="00F91678" w:rsidP="00F91678">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6" w:name="_Hlk531256143"/>
      <w:r>
        <w:rPr>
          <w:rFonts w:eastAsia="Times New Roman" w:cs="Times New Roman"/>
          <w:lang w:eastAsia="en-US"/>
        </w:rPr>
        <w:t>downstream BH RLF notification</w:t>
      </w:r>
      <w:bookmarkEnd w:id="6"/>
      <w:r w:rsidRPr="00867CBD">
        <w:rPr>
          <w:rFonts w:eastAsia="Times New Roman" w:cs="Times New Roman"/>
          <w:lang w:eastAsia="en-US"/>
        </w:rPr>
        <w:t>).</w:t>
      </w:r>
    </w:p>
    <w:p w:rsidR="00F91678" w:rsidRDefault="00F91678" w:rsidP="00F91678">
      <w:pPr>
        <w:pStyle w:val="maintext"/>
        <w:spacing w:line="240" w:lineRule="auto"/>
        <w:ind w:left="1440" w:firstLineChars="0" w:firstLine="0"/>
        <w:jc w:val="left"/>
        <w:rPr>
          <w:rFonts w:eastAsia="Times New Roman" w:cs="Times New Roman"/>
          <w:lang w:eastAsia="en-US"/>
        </w:rPr>
      </w:pPr>
    </w:p>
    <w:p w:rsidR="00A61CB6" w:rsidRDefault="004F5992" w:rsidP="004A7002">
      <w:pPr>
        <w:rPr>
          <w:rFonts w:ascii="Calibri" w:eastAsia="Malgun Gothic" w:hAnsi="Calibri" w:cs="Batang"/>
          <w:lang w:val="en-GB" w:eastAsia="ko-KR"/>
        </w:rPr>
      </w:pPr>
      <w:r>
        <w:rPr>
          <w:rFonts w:ascii="Calibri" w:eastAsia="Malgun Gothic" w:hAnsi="Calibri" w:cs="Batang"/>
          <w:lang w:val="en-GB" w:eastAsia="ko-KR"/>
        </w:rPr>
        <w:t>At the RAN3#103bis meeting the issue of IP address assignment for IAB nodes during initial setup phase was discussed and the following conclusions were made</w:t>
      </w:r>
      <w:r w:rsidR="002D025C">
        <w:rPr>
          <w:rFonts w:ascii="Calibri" w:eastAsia="Malgun Gothic" w:hAnsi="Calibri" w:cs="Batang"/>
          <w:lang w:val="en-GB" w:eastAsia="ko-KR"/>
        </w:rPr>
        <w:t xml:space="preserve"> [2]</w:t>
      </w:r>
      <w:r>
        <w:rPr>
          <w:rFonts w:ascii="Calibri" w:eastAsia="Malgun Gothic" w:hAnsi="Calibri" w:cs="Batang"/>
          <w:lang w:val="en-GB" w:eastAsia="ko-KR"/>
        </w:rPr>
        <w:t>:</w:t>
      </w:r>
    </w:p>
    <w:p w:rsidR="004F5992" w:rsidRPr="00056205" w:rsidRDefault="004F5992" w:rsidP="004F5992">
      <w:pPr>
        <w:widowControl w:val="0"/>
        <w:pBdr>
          <w:top w:val="single" w:sz="4" w:space="1" w:color="auto"/>
          <w:left w:val="single" w:sz="4" w:space="4" w:color="auto"/>
          <w:bottom w:val="single" w:sz="4" w:space="1" w:color="auto"/>
          <w:right w:val="single" w:sz="4" w:space="4" w:color="auto"/>
        </w:pBdr>
        <w:spacing w:after="0"/>
        <w:ind w:left="144" w:hanging="144"/>
        <w:rPr>
          <w:rFonts w:cs="Calibri"/>
          <w:color w:val="00B050"/>
          <w:sz w:val="18"/>
          <w:szCs w:val="24"/>
        </w:rPr>
      </w:pPr>
      <w:r w:rsidRPr="00056205">
        <w:rPr>
          <w:rFonts w:cs="Calibri"/>
          <w:b/>
          <w:color w:val="00B050"/>
          <w:sz w:val="18"/>
          <w:szCs w:val="24"/>
        </w:rPr>
        <w:t>IAB-DU IP address may be assigned by donor DU or by donor CU; if assigned by donor DU, DHCP is used (donor DU may act as DHCP server or as DHCP proxy)</w:t>
      </w:r>
    </w:p>
    <w:p w:rsidR="004F5992" w:rsidRDefault="004F5992" w:rsidP="004F5992">
      <w:pPr>
        <w:widowControl w:val="0"/>
        <w:pBdr>
          <w:top w:val="single" w:sz="4" w:space="1" w:color="auto"/>
          <w:left w:val="single" w:sz="4" w:space="4" w:color="auto"/>
          <w:bottom w:val="single" w:sz="4" w:space="1" w:color="auto"/>
          <w:right w:val="single" w:sz="4" w:space="4" w:color="auto"/>
        </w:pBdr>
        <w:spacing w:after="0"/>
        <w:ind w:left="144" w:hanging="144"/>
        <w:rPr>
          <w:rFonts w:cs="Calibri"/>
          <w:sz w:val="18"/>
          <w:szCs w:val="24"/>
        </w:rPr>
      </w:pPr>
    </w:p>
    <w:p w:rsidR="00A61CB6" w:rsidRDefault="004F5992" w:rsidP="004F5992">
      <w:pPr>
        <w:pBdr>
          <w:top w:val="single" w:sz="4" w:space="1" w:color="auto"/>
          <w:left w:val="single" w:sz="4" w:space="4" w:color="auto"/>
          <w:bottom w:val="single" w:sz="4" w:space="1" w:color="auto"/>
          <w:right w:val="single" w:sz="4" w:space="4" w:color="auto"/>
        </w:pBdr>
        <w:rPr>
          <w:rFonts w:ascii="Calibri" w:eastAsia="Malgun Gothic" w:hAnsi="Calibri" w:cs="Batang"/>
          <w:lang w:val="en-GB" w:eastAsia="ko-KR"/>
        </w:rPr>
      </w:pPr>
      <w:r w:rsidRPr="00AD457C">
        <w:rPr>
          <w:rFonts w:cs="Calibri"/>
          <w:b/>
          <w:color w:val="FF0000"/>
          <w:sz w:val="18"/>
          <w:szCs w:val="24"/>
        </w:rPr>
        <w:t>IP address assignment via OAM</w:t>
      </w:r>
      <w:r>
        <w:rPr>
          <w:rFonts w:cs="Calibri"/>
          <w:b/>
          <w:color w:val="FF0000"/>
          <w:sz w:val="18"/>
          <w:szCs w:val="24"/>
        </w:rPr>
        <w:t xml:space="preserve"> is not precluded; in this case</w:t>
      </w:r>
      <w:r w:rsidRPr="00AD457C">
        <w:rPr>
          <w:rFonts w:cs="Calibri"/>
          <w:b/>
          <w:color w:val="FF0000"/>
          <w:sz w:val="18"/>
          <w:szCs w:val="24"/>
        </w:rPr>
        <w:t xml:space="preserve"> this functionality needs to be coupled to the topology adaptation functionality</w:t>
      </w:r>
    </w:p>
    <w:p w:rsidR="00A61CB6" w:rsidRDefault="004F5992" w:rsidP="004A7002">
      <w:pPr>
        <w:rPr>
          <w:rFonts w:ascii="Calibri" w:eastAsia="Malgun Gothic" w:hAnsi="Calibri" w:cs="Batang"/>
          <w:lang w:val="en-GB" w:eastAsia="ko-KR"/>
        </w:rPr>
      </w:pPr>
      <w:r>
        <w:rPr>
          <w:rFonts w:ascii="Calibri" w:eastAsia="Malgun Gothic" w:hAnsi="Calibri" w:cs="Batang"/>
          <w:lang w:val="en-GB" w:eastAsia="ko-KR"/>
        </w:rPr>
        <w:t xml:space="preserve">Although it was agreed that IAB-DU IP address may be assigned by donor DU or donor CU, IP address assignment via OAM was not precluded. </w:t>
      </w:r>
      <w:r w:rsidR="00A61CB6">
        <w:rPr>
          <w:rFonts w:ascii="Calibri" w:eastAsia="Malgun Gothic" w:hAnsi="Calibri" w:cs="Batang"/>
          <w:lang w:val="en-GB" w:eastAsia="ko-KR"/>
        </w:rPr>
        <w:t xml:space="preserve">In this contribution we discuss </w:t>
      </w:r>
      <w:r>
        <w:rPr>
          <w:rFonts w:ascii="Calibri" w:eastAsia="Malgun Gothic" w:hAnsi="Calibri" w:cs="Batang"/>
          <w:lang w:val="en-GB" w:eastAsia="ko-KR"/>
        </w:rPr>
        <w:t>issues related to IP address assignment via OAM</w:t>
      </w:r>
      <w:r w:rsidR="00A61CB6">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D75F31"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IP Address Assignment via OAM</w:t>
      </w:r>
    </w:p>
    <w:p w:rsidR="00876663" w:rsidRDefault="00C83265" w:rsidP="004A7002">
      <w:pPr>
        <w:rPr>
          <w:rFonts w:ascii="Calibri" w:eastAsia="Malgun Gothic" w:hAnsi="Calibri" w:cs="Batang"/>
          <w:lang w:val="en-GB" w:eastAsia="ko-KR"/>
        </w:rPr>
      </w:pPr>
      <w:r>
        <w:rPr>
          <w:rFonts w:ascii="Calibri" w:eastAsia="Malgun Gothic" w:hAnsi="Calibri" w:cs="Batang"/>
          <w:lang w:val="en-GB" w:eastAsia="ko-KR"/>
        </w:rPr>
        <w:t>During initial IAB node setup, IP address assignment for the IAB-DU can be made via the OAM system through a PDU/PDN session of the MT part of the IAB node</w:t>
      </w:r>
      <w:r w:rsidR="00C30C6F">
        <w:rPr>
          <w:rFonts w:ascii="Calibri" w:eastAsia="Malgun Gothic" w:hAnsi="Calibri" w:cs="Batang"/>
          <w:lang w:val="en-GB" w:eastAsia="ko-KR"/>
        </w:rPr>
        <w:t>.</w:t>
      </w:r>
      <w:r w:rsidR="00876663">
        <w:rPr>
          <w:rFonts w:ascii="Calibri" w:eastAsia="Malgun Gothic" w:hAnsi="Calibri" w:cs="Batang"/>
          <w:lang w:val="en-GB" w:eastAsia="ko-KR"/>
        </w:rPr>
        <w:t xml:space="preserve"> There are a number of issues with using the OAM system for IP address assignment for IAB DUs as follows:</w:t>
      </w:r>
    </w:p>
    <w:p w:rsidR="00C30C6F" w:rsidRDefault="00DC1319" w:rsidP="00876663">
      <w:pPr>
        <w:pStyle w:val="ListParagraph"/>
        <w:numPr>
          <w:ilvl w:val="0"/>
          <w:numId w:val="22"/>
        </w:numPr>
        <w:rPr>
          <w:rFonts w:ascii="Calibri" w:eastAsia="Malgun Gothic" w:hAnsi="Calibri" w:cs="Batang"/>
          <w:lang w:val="en-GB" w:eastAsia="ko-KR"/>
        </w:rPr>
      </w:pPr>
      <w:r>
        <w:rPr>
          <w:rFonts w:ascii="Calibri" w:eastAsia="Malgun Gothic" w:hAnsi="Calibri" w:cs="Batang"/>
          <w:lang w:val="en-GB" w:eastAsia="ko-KR"/>
        </w:rPr>
        <w:lastRenderedPageBreak/>
        <w:t xml:space="preserve">Complexity - When OAM assigns an IP address to the IAB DU, it needs to be routable from donor CU. Furthermore, it also needs to know which donor DU is connected to the IAB DU. Since, the OAM system is not directly aware of the detailed topology and connectivity across the IAB network, this makes IAB DU IP address assignment via OAM much more complex. </w:t>
      </w:r>
    </w:p>
    <w:p w:rsidR="006E3E7B" w:rsidRDefault="006E3E7B" w:rsidP="006E3E7B">
      <w:pPr>
        <w:pStyle w:val="ListParagraph"/>
        <w:ind w:left="765"/>
        <w:rPr>
          <w:rFonts w:ascii="Calibri" w:eastAsia="Malgun Gothic" w:hAnsi="Calibri" w:cs="Batang"/>
          <w:lang w:val="en-GB" w:eastAsia="ko-KR"/>
        </w:rPr>
      </w:pPr>
    </w:p>
    <w:p w:rsidR="00FC377E" w:rsidRDefault="00DC1319" w:rsidP="00FC377E">
      <w:pPr>
        <w:pStyle w:val="ListParagraph"/>
        <w:numPr>
          <w:ilvl w:val="0"/>
          <w:numId w:val="22"/>
        </w:numPr>
        <w:rPr>
          <w:rFonts w:ascii="Calibri" w:eastAsia="Malgun Gothic" w:hAnsi="Calibri" w:cs="Batang"/>
          <w:lang w:val="en-GB" w:eastAsia="ko-KR"/>
        </w:rPr>
      </w:pPr>
      <w:r>
        <w:rPr>
          <w:rFonts w:ascii="Calibri" w:eastAsia="Malgun Gothic" w:hAnsi="Calibri" w:cs="Batang"/>
          <w:lang w:val="en-GB" w:eastAsia="ko-KR"/>
        </w:rPr>
        <w:t xml:space="preserve">Topology adaptation – IAB networks </w:t>
      </w:r>
      <w:r w:rsidR="00F20956">
        <w:rPr>
          <w:rFonts w:ascii="Calibri" w:eastAsia="Malgun Gothic" w:hAnsi="Calibri" w:cs="Batang"/>
          <w:lang w:val="en-GB" w:eastAsia="ko-KR"/>
        </w:rPr>
        <w:t>may</w:t>
      </w:r>
      <w:r>
        <w:rPr>
          <w:rFonts w:ascii="Calibri" w:eastAsia="Malgun Gothic" w:hAnsi="Calibri" w:cs="Batang"/>
          <w:lang w:val="en-GB" w:eastAsia="ko-KR"/>
        </w:rPr>
        <w:t xml:space="preserve"> be subject to periodic topology adaptation with a need to reconfigure</w:t>
      </w:r>
      <w:r w:rsidR="00F20956">
        <w:rPr>
          <w:rFonts w:ascii="Calibri" w:eastAsia="Malgun Gothic" w:hAnsi="Calibri" w:cs="Batang"/>
          <w:lang w:val="en-GB" w:eastAsia="ko-KR"/>
        </w:rPr>
        <w:t xml:space="preserve"> the backhaul network due to, for example, link blockage or congestion. Such topology adaptation could result in IAB DU IP address re-assignment. When IAB DU IP address assignments are provided by the OAM system, additional topology adaptation procedure delay may be introduced. For topology adaptation requiring IP address re-assignment, it is more efficient to keep the IAB DU IP address assignment within the RAN (either at donor DU via DHCP server/proxy or at donor CU, as already agreed at RAN3#103bis).</w:t>
      </w:r>
    </w:p>
    <w:p w:rsidR="00FC377E" w:rsidRPr="00FC377E" w:rsidRDefault="00FC377E" w:rsidP="00FC377E">
      <w:pPr>
        <w:pStyle w:val="ListParagraph"/>
        <w:ind w:left="765"/>
        <w:rPr>
          <w:rFonts w:ascii="Calibri" w:eastAsia="Malgun Gothic" w:hAnsi="Calibri" w:cs="Batang"/>
          <w:lang w:val="en-GB" w:eastAsia="ko-KR"/>
        </w:rPr>
      </w:pPr>
    </w:p>
    <w:p w:rsidR="006E3E7B" w:rsidRPr="00876663" w:rsidRDefault="006E3E7B" w:rsidP="00876663">
      <w:pPr>
        <w:pStyle w:val="ListParagraph"/>
        <w:numPr>
          <w:ilvl w:val="0"/>
          <w:numId w:val="22"/>
        </w:numPr>
        <w:rPr>
          <w:rFonts w:ascii="Calibri" w:eastAsia="Malgun Gothic" w:hAnsi="Calibri" w:cs="Batang"/>
          <w:lang w:val="en-GB" w:eastAsia="ko-KR"/>
        </w:rPr>
      </w:pPr>
      <w:r>
        <w:rPr>
          <w:rFonts w:ascii="Calibri" w:eastAsia="Malgun Gothic" w:hAnsi="Calibri" w:cs="Batang"/>
          <w:lang w:val="en-GB" w:eastAsia="ko-KR"/>
        </w:rPr>
        <w:t xml:space="preserve">Forward compatibility – Even though </w:t>
      </w:r>
      <w:r w:rsidR="007154A4">
        <w:rPr>
          <w:rFonts w:ascii="Calibri" w:eastAsia="Malgun Gothic" w:hAnsi="Calibri" w:cs="Batang"/>
          <w:lang w:val="en-GB" w:eastAsia="ko-KR"/>
        </w:rPr>
        <w:t xml:space="preserve">the scope of </w:t>
      </w:r>
      <w:r>
        <w:rPr>
          <w:rFonts w:ascii="Calibri" w:eastAsia="Malgun Gothic" w:hAnsi="Calibri" w:cs="Batang"/>
          <w:lang w:val="en-GB" w:eastAsia="ko-KR"/>
        </w:rPr>
        <w:t>Release 16 IAB specification work does not include IAB node mobility, it is possible that future evolution of IAB could include mobility of IAB node. Topology adaptation would also be needed to support such IAB node mobility. However, top</w:t>
      </w:r>
      <w:r w:rsidR="00FC377E">
        <w:rPr>
          <w:rFonts w:ascii="Calibri" w:eastAsia="Malgun Gothic" w:hAnsi="Calibri" w:cs="Batang"/>
          <w:lang w:val="en-GB" w:eastAsia="ko-KR"/>
        </w:rPr>
        <w:t>o</w:t>
      </w:r>
      <w:r>
        <w:rPr>
          <w:rFonts w:ascii="Calibri" w:eastAsia="Malgun Gothic" w:hAnsi="Calibri" w:cs="Batang"/>
          <w:lang w:val="en-GB" w:eastAsia="ko-KR"/>
        </w:rPr>
        <w:t xml:space="preserve">logy adaptation </w:t>
      </w:r>
      <w:r w:rsidR="00FC377E">
        <w:rPr>
          <w:rFonts w:ascii="Calibri" w:eastAsia="Malgun Gothic" w:hAnsi="Calibri" w:cs="Batang"/>
          <w:lang w:val="en-GB" w:eastAsia="ko-KR"/>
        </w:rPr>
        <w:t xml:space="preserve">with IAB node mobility would likely be more frequent compared to the topology adaptation required for fixed IAB nodes. Hence, the efficiency of such topology adaptation would also be much more important. In order to remain forward compatible with such future evolution of IAB technology, IP address assignment should not be provided via the OAM system, but rather within the RAN. </w:t>
      </w:r>
    </w:p>
    <w:p w:rsidR="00327801" w:rsidRDefault="00327801" w:rsidP="004A7002">
      <w:pPr>
        <w:rPr>
          <w:rFonts w:ascii="Calibri" w:eastAsia="Malgun Gothic" w:hAnsi="Calibri" w:cs="Batang"/>
          <w:b/>
          <w:lang w:val="en-GB" w:eastAsia="ko-KR"/>
        </w:rPr>
      </w:pPr>
    </w:p>
    <w:p w:rsidR="002D307E" w:rsidRDefault="00FC377E" w:rsidP="004A7002">
      <w:pPr>
        <w:rPr>
          <w:rFonts w:ascii="Calibri" w:eastAsia="Malgun Gothic" w:hAnsi="Calibri" w:cs="Batang"/>
          <w:b/>
          <w:lang w:val="en-GB" w:eastAsia="ko-KR"/>
        </w:rPr>
      </w:pPr>
      <w:r>
        <w:rPr>
          <w:rFonts w:ascii="Calibri" w:eastAsia="Malgun Gothic" w:hAnsi="Calibri" w:cs="Batang"/>
          <w:b/>
          <w:lang w:val="en-GB" w:eastAsia="ko-KR"/>
        </w:rPr>
        <w:t>Observation: IAB DU IP address assignment via OAM is more complex and add</w:t>
      </w:r>
      <w:r w:rsidR="005B0E59">
        <w:rPr>
          <w:rFonts w:ascii="Calibri" w:eastAsia="Malgun Gothic" w:hAnsi="Calibri" w:cs="Batang"/>
          <w:b/>
          <w:lang w:val="en-GB" w:eastAsia="ko-KR"/>
        </w:rPr>
        <w:t>s</w:t>
      </w:r>
      <w:r>
        <w:rPr>
          <w:rFonts w:ascii="Calibri" w:eastAsia="Malgun Gothic" w:hAnsi="Calibri" w:cs="Batang"/>
          <w:b/>
          <w:lang w:val="en-GB" w:eastAsia="ko-KR"/>
        </w:rPr>
        <w:t xml:space="preserve"> more delay to topology adaptation compared to IP address assignment by the donor DU or donor CU.</w:t>
      </w:r>
    </w:p>
    <w:p w:rsidR="00FC377E" w:rsidRPr="004131D6" w:rsidRDefault="00FC377E" w:rsidP="004A7002">
      <w:pPr>
        <w:rPr>
          <w:rFonts w:ascii="Calibri" w:eastAsia="Malgun Gothic" w:hAnsi="Calibri" w:cs="Batang"/>
          <w:b/>
          <w:lang w:val="en-GB" w:eastAsia="ko-KR"/>
        </w:rPr>
      </w:pPr>
      <w:r>
        <w:rPr>
          <w:rFonts w:ascii="Calibri" w:eastAsia="Malgun Gothic" w:hAnsi="Calibri" w:cs="Batang"/>
          <w:b/>
          <w:lang w:val="en-GB" w:eastAsia="ko-KR"/>
        </w:rPr>
        <w:t>Proposal 1: IAB-DU IP address assignment via OAM should be precluded.</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FC377E" w:rsidRPr="001B2250" w:rsidRDefault="00477F9F" w:rsidP="004A7002">
      <w:pPr>
        <w:pStyle w:val="maintext"/>
        <w:ind w:firstLineChars="0" w:firstLine="0"/>
        <w:rPr>
          <w:rFonts w:ascii="Calibri" w:hAnsi="Calibri"/>
        </w:rPr>
      </w:pPr>
      <w:r>
        <w:rPr>
          <w:rFonts w:ascii="Calibri" w:hAnsi="Calibri"/>
        </w:rPr>
        <w:t xml:space="preserve">In this contribution we discussed the </w:t>
      </w:r>
      <w:r w:rsidR="00FC377E">
        <w:rPr>
          <w:rFonts w:ascii="Calibri" w:hAnsi="Calibri"/>
        </w:rPr>
        <w:t>issue of IAB DU IP address assignment via OAM. The following observation and proposal w</w:t>
      </w:r>
      <w:r w:rsidR="002D307E">
        <w:rPr>
          <w:rFonts w:ascii="Calibri" w:hAnsi="Calibri"/>
        </w:rPr>
        <w:t>ere</w:t>
      </w:r>
      <w:r w:rsidR="00FC377E">
        <w:rPr>
          <w:rFonts w:ascii="Calibri" w:hAnsi="Calibri"/>
        </w:rPr>
        <w:t xml:space="preserve"> made:</w:t>
      </w:r>
    </w:p>
    <w:p w:rsidR="00FC377E" w:rsidRDefault="00FC377E" w:rsidP="00FC377E">
      <w:pPr>
        <w:rPr>
          <w:rFonts w:ascii="Calibri" w:eastAsia="Malgun Gothic" w:hAnsi="Calibri" w:cs="Batang"/>
          <w:b/>
          <w:lang w:val="en-GB" w:eastAsia="ko-KR"/>
        </w:rPr>
      </w:pPr>
      <w:r>
        <w:rPr>
          <w:rFonts w:ascii="Calibri" w:eastAsia="Malgun Gothic" w:hAnsi="Calibri" w:cs="Batang"/>
          <w:b/>
          <w:lang w:val="en-GB" w:eastAsia="ko-KR"/>
        </w:rPr>
        <w:t>Observation: IAB DU IP address assignment via OAM is more complex and add</w:t>
      </w:r>
      <w:r w:rsidR="005B0E59">
        <w:rPr>
          <w:rFonts w:ascii="Calibri" w:eastAsia="Malgun Gothic" w:hAnsi="Calibri" w:cs="Batang"/>
          <w:b/>
          <w:lang w:val="en-GB" w:eastAsia="ko-KR"/>
        </w:rPr>
        <w:t>s</w:t>
      </w:r>
      <w:r>
        <w:rPr>
          <w:rFonts w:ascii="Calibri" w:eastAsia="Malgun Gothic" w:hAnsi="Calibri" w:cs="Batang"/>
          <w:b/>
          <w:lang w:val="en-GB" w:eastAsia="ko-KR"/>
        </w:rPr>
        <w:t xml:space="preserve"> more delay to topology adaptation compared to IP address assignment by the donor DU or donor CU.</w:t>
      </w:r>
      <w:bookmarkStart w:id="7" w:name="_GoBack"/>
      <w:bookmarkEnd w:id="7"/>
    </w:p>
    <w:p w:rsidR="00FC377E" w:rsidRPr="004131D6" w:rsidRDefault="00FC377E" w:rsidP="00FC377E">
      <w:pPr>
        <w:rPr>
          <w:rFonts w:ascii="Calibri" w:eastAsia="Malgun Gothic" w:hAnsi="Calibri" w:cs="Batang"/>
          <w:b/>
          <w:lang w:val="en-GB" w:eastAsia="ko-KR"/>
        </w:rPr>
      </w:pPr>
      <w:r>
        <w:rPr>
          <w:rFonts w:ascii="Calibri" w:eastAsia="Malgun Gothic" w:hAnsi="Calibri" w:cs="Batang"/>
          <w:b/>
          <w:lang w:val="en-GB" w:eastAsia="ko-KR"/>
        </w:rPr>
        <w:t>Proposal 1: IAB-DU IP address assignment via OAM should be precluded.</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18475D" w:rsidRPr="00BD2886" w:rsidRDefault="0018475D" w:rsidP="0018475D">
      <w:pPr>
        <w:pStyle w:val="2222"/>
        <w:spacing w:after="120" w:line="288" w:lineRule="auto"/>
        <w:ind w:firstLineChars="0" w:firstLine="0"/>
        <w:jc w:val="left"/>
        <w:rPr>
          <w:rFonts w:cs="Times New Roman"/>
          <w:lang w:eastAsia="ko-KR"/>
        </w:rPr>
      </w:pPr>
      <w:r>
        <w:rPr>
          <w:rFonts w:cs="Times New Roman"/>
          <w:lang w:eastAsia="ko-KR"/>
        </w:rPr>
        <w:t>[</w:t>
      </w:r>
      <w:r w:rsidR="004147A9">
        <w:rPr>
          <w:rFonts w:cs="Times New Roman"/>
          <w:lang w:eastAsia="ko-KR"/>
        </w:rPr>
        <w:t>1</w:t>
      </w:r>
      <w:r>
        <w:rPr>
          <w:rFonts w:cs="Times New Roman"/>
          <w:lang w:eastAsia="ko-KR"/>
        </w:rPr>
        <w:t>] RP-182882, New WID: Integrated Access and Backhaul for NR, Qualcomm.</w:t>
      </w:r>
    </w:p>
    <w:p w:rsidR="00DB04CF" w:rsidRDefault="00DB04CF" w:rsidP="0018475D">
      <w:pPr>
        <w:pStyle w:val="2222"/>
        <w:spacing w:after="120" w:line="288" w:lineRule="auto"/>
        <w:ind w:firstLineChars="0" w:firstLine="0"/>
        <w:jc w:val="left"/>
        <w:rPr>
          <w:rFonts w:cs="Times New Roman"/>
          <w:lang w:eastAsia="ko-KR"/>
        </w:rPr>
      </w:pPr>
      <w:r>
        <w:rPr>
          <w:rFonts w:cs="Times New Roman"/>
          <w:lang w:eastAsia="ko-KR"/>
        </w:rPr>
        <w:t>[</w:t>
      </w:r>
      <w:r w:rsidR="004147A9">
        <w:rPr>
          <w:rFonts w:cs="Times New Roman"/>
          <w:lang w:eastAsia="ko-KR"/>
        </w:rPr>
        <w:t>2</w:t>
      </w:r>
      <w:r>
        <w:rPr>
          <w:rFonts w:cs="Times New Roman"/>
          <w:lang w:eastAsia="ko-KR"/>
        </w:rPr>
        <w:t xml:space="preserve">] RAN3#103bis Chairman’s Notes, version </w:t>
      </w:r>
      <w:r w:rsidR="00AA12B3">
        <w:rPr>
          <w:rFonts w:cs="Times New Roman"/>
          <w:lang w:eastAsia="ko-KR"/>
        </w:rPr>
        <w:t>20190412_EOM</w:t>
      </w:r>
      <w:r w:rsidR="001E5602">
        <w:rPr>
          <w:rFonts w:cs="Times New Roman"/>
          <w:lang w:eastAsia="ko-KR"/>
        </w:rPr>
        <w:t>, Xi’an, China.</w:t>
      </w:r>
    </w:p>
    <w:sectPr w:rsidR="00DB04CF"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38B" w:rsidRDefault="00A0738B" w:rsidP="00424124">
      <w:pPr>
        <w:spacing w:before="0" w:after="0"/>
      </w:pPr>
      <w:r>
        <w:separator/>
      </w:r>
    </w:p>
  </w:endnote>
  <w:endnote w:type="continuationSeparator" w:id="0">
    <w:p w:rsidR="00A0738B" w:rsidRDefault="00A0738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38B" w:rsidRDefault="00A0738B" w:rsidP="00424124">
      <w:pPr>
        <w:spacing w:before="0" w:after="0"/>
      </w:pPr>
      <w:r>
        <w:separator/>
      </w:r>
    </w:p>
  </w:footnote>
  <w:footnote w:type="continuationSeparator" w:id="0">
    <w:p w:rsidR="00A0738B" w:rsidRDefault="00A0738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C41C8A"/>
    <w:multiLevelType w:val="hybridMultilevel"/>
    <w:tmpl w:val="3F3670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F4CC2"/>
    <w:multiLevelType w:val="hybridMultilevel"/>
    <w:tmpl w:val="D7D23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4"/>
  </w:num>
  <w:num w:numId="9">
    <w:abstractNumId w:val="2"/>
  </w:num>
  <w:num w:numId="10">
    <w:abstractNumId w:val="3"/>
  </w:num>
  <w:num w:numId="11">
    <w:abstractNumId w:val="17"/>
  </w:num>
  <w:num w:numId="12">
    <w:abstractNumId w:val="9"/>
  </w:num>
  <w:num w:numId="13">
    <w:abstractNumId w:val="10"/>
  </w:num>
  <w:num w:numId="14">
    <w:abstractNumId w:val="21"/>
  </w:num>
  <w:num w:numId="15">
    <w:abstractNumId w:val="1"/>
  </w:num>
  <w:num w:numId="16">
    <w:abstractNumId w:val="19"/>
  </w:num>
  <w:num w:numId="17">
    <w:abstractNumId w:val="15"/>
  </w:num>
  <w:num w:numId="18">
    <w:abstractNumId w:val="12"/>
  </w:num>
  <w:num w:numId="19">
    <w:abstractNumId w:val="5"/>
  </w:num>
  <w:num w:numId="20">
    <w:abstractNumId w:val="20"/>
  </w:num>
  <w:num w:numId="21">
    <w:abstractNumId w:val="11"/>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17C5"/>
    <w:rsid w:val="00094DA3"/>
    <w:rsid w:val="00097DC6"/>
    <w:rsid w:val="000A36A9"/>
    <w:rsid w:val="000B0720"/>
    <w:rsid w:val="000B58AF"/>
    <w:rsid w:val="000B6D99"/>
    <w:rsid w:val="000C05C0"/>
    <w:rsid w:val="000C21D0"/>
    <w:rsid w:val="000C57B9"/>
    <w:rsid w:val="000D176F"/>
    <w:rsid w:val="000D38DC"/>
    <w:rsid w:val="000E2283"/>
    <w:rsid w:val="000E29D8"/>
    <w:rsid w:val="000E7524"/>
    <w:rsid w:val="000F259D"/>
    <w:rsid w:val="000F6CCA"/>
    <w:rsid w:val="0010303E"/>
    <w:rsid w:val="0011327D"/>
    <w:rsid w:val="0011588C"/>
    <w:rsid w:val="00116DA6"/>
    <w:rsid w:val="001279BC"/>
    <w:rsid w:val="00134C07"/>
    <w:rsid w:val="001356D6"/>
    <w:rsid w:val="00137E15"/>
    <w:rsid w:val="001417A8"/>
    <w:rsid w:val="00153793"/>
    <w:rsid w:val="00162B42"/>
    <w:rsid w:val="00164A98"/>
    <w:rsid w:val="00172743"/>
    <w:rsid w:val="00175301"/>
    <w:rsid w:val="0018475D"/>
    <w:rsid w:val="00184E81"/>
    <w:rsid w:val="001901AC"/>
    <w:rsid w:val="001A5A68"/>
    <w:rsid w:val="001A6212"/>
    <w:rsid w:val="001A75E0"/>
    <w:rsid w:val="001B7305"/>
    <w:rsid w:val="001B731B"/>
    <w:rsid w:val="001C20E2"/>
    <w:rsid w:val="001C4ACE"/>
    <w:rsid w:val="001C699C"/>
    <w:rsid w:val="001E02F3"/>
    <w:rsid w:val="001E0CE1"/>
    <w:rsid w:val="001E404E"/>
    <w:rsid w:val="001E5602"/>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C5EA4"/>
    <w:rsid w:val="002D025C"/>
    <w:rsid w:val="002D307E"/>
    <w:rsid w:val="002D3D42"/>
    <w:rsid w:val="002D479B"/>
    <w:rsid w:val="002D5EDC"/>
    <w:rsid w:val="002D6EC9"/>
    <w:rsid w:val="002D787B"/>
    <w:rsid w:val="002E188B"/>
    <w:rsid w:val="002E65B5"/>
    <w:rsid w:val="002F2F26"/>
    <w:rsid w:val="002F4C25"/>
    <w:rsid w:val="003141F5"/>
    <w:rsid w:val="00315DC4"/>
    <w:rsid w:val="00317020"/>
    <w:rsid w:val="00320B4D"/>
    <w:rsid w:val="00326FF6"/>
    <w:rsid w:val="00327801"/>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C6249"/>
    <w:rsid w:val="003E02B9"/>
    <w:rsid w:val="003E1304"/>
    <w:rsid w:val="003E35D4"/>
    <w:rsid w:val="003E7121"/>
    <w:rsid w:val="003F0731"/>
    <w:rsid w:val="003F33B4"/>
    <w:rsid w:val="004011AC"/>
    <w:rsid w:val="00405F6D"/>
    <w:rsid w:val="004131D6"/>
    <w:rsid w:val="004147A9"/>
    <w:rsid w:val="00424124"/>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F5992"/>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8506A"/>
    <w:rsid w:val="00591190"/>
    <w:rsid w:val="00591208"/>
    <w:rsid w:val="005A18B4"/>
    <w:rsid w:val="005A60B4"/>
    <w:rsid w:val="005B0E59"/>
    <w:rsid w:val="005B47BD"/>
    <w:rsid w:val="005B69C2"/>
    <w:rsid w:val="005B6FA6"/>
    <w:rsid w:val="005C55D3"/>
    <w:rsid w:val="005D2C51"/>
    <w:rsid w:val="005F21BF"/>
    <w:rsid w:val="005F613D"/>
    <w:rsid w:val="005F705D"/>
    <w:rsid w:val="00600F57"/>
    <w:rsid w:val="00603015"/>
    <w:rsid w:val="0060603E"/>
    <w:rsid w:val="00621955"/>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3E7B"/>
    <w:rsid w:val="006E790B"/>
    <w:rsid w:val="006F055C"/>
    <w:rsid w:val="006F3E32"/>
    <w:rsid w:val="006F5171"/>
    <w:rsid w:val="006F52D9"/>
    <w:rsid w:val="00702C40"/>
    <w:rsid w:val="00707438"/>
    <w:rsid w:val="00707D20"/>
    <w:rsid w:val="00710F58"/>
    <w:rsid w:val="00713175"/>
    <w:rsid w:val="00713382"/>
    <w:rsid w:val="00714B77"/>
    <w:rsid w:val="00714CA5"/>
    <w:rsid w:val="007154A4"/>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6663"/>
    <w:rsid w:val="00885004"/>
    <w:rsid w:val="00885687"/>
    <w:rsid w:val="00886940"/>
    <w:rsid w:val="00886B7B"/>
    <w:rsid w:val="00887AB4"/>
    <w:rsid w:val="00894290"/>
    <w:rsid w:val="008A25A1"/>
    <w:rsid w:val="008B39B6"/>
    <w:rsid w:val="008C1AFD"/>
    <w:rsid w:val="008C4B67"/>
    <w:rsid w:val="008D1AEF"/>
    <w:rsid w:val="008E48C2"/>
    <w:rsid w:val="008F0D8C"/>
    <w:rsid w:val="008F1BD1"/>
    <w:rsid w:val="008F2160"/>
    <w:rsid w:val="00901B67"/>
    <w:rsid w:val="00905E86"/>
    <w:rsid w:val="0091232D"/>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0F8D"/>
    <w:rsid w:val="009B4AC2"/>
    <w:rsid w:val="009B52C0"/>
    <w:rsid w:val="009B75E8"/>
    <w:rsid w:val="009C2167"/>
    <w:rsid w:val="009C21C2"/>
    <w:rsid w:val="009D46C1"/>
    <w:rsid w:val="009D6CD0"/>
    <w:rsid w:val="009E0D02"/>
    <w:rsid w:val="009E4418"/>
    <w:rsid w:val="009E5838"/>
    <w:rsid w:val="009F5B4B"/>
    <w:rsid w:val="00A0235E"/>
    <w:rsid w:val="00A04526"/>
    <w:rsid w:val="00A0738B"/>
    <w:rsid w:val="00A11704"/>
    <w:rsid w:val="00A11840"/>
    <w:rsid w:val="00A14282"/>
    <w:rsid w:val="00A21D13"/>
    <w:rsid w:val="00A22671"/>
    <w:rsid w:val="00A22C61"/>
    <w:rsid w:val="00A262E4"/>
    <w:rsid w:val="00A26EC3"/>
    <w:rsid w:val="00A300E0"/>
    <w:rsid w:val="00A3158B"/>
    <w:rsid w:val="00A34F57"/>
    <w:rsid w:val="00A359C7"/>
    <w:rsid w:val="00A41CF3"/>
    <w:rsid w:val="00A456B1"/>
    <w:rsid w:val="00A4674D"/>
    <w:rsid w:val="00A547CE"/>
    <w:rsid w:val="00A55FF3"/>
    <w:rsid w:val="00A603CE"/>
    <w:rsid w:val="00A605F1"/>
    <w:rsid w:val="00A61CB6"/>
    <w:rsid w:val="00A64CF7"/>
    <w:rsid w:val="00A672BA"/>
    <w:rsid w:val="00A72B33"/>
    <w:rsid w:val="00A821EA"/>
    <w:rsid w:val="00A8721E"/>
    <w:rsid w:val="00A92495"/>
    <w:rsid w:val="00AA12B3"/>
    <w:rsid w:val="00AA5160"/>
    <w:rsid w:val="00AA5899"/>
    <w:rsid w:val="00AB0589"/>
    <w:rsid w:val="00AB75A3"/>
    <w:rsid w:val="00AB7FC6"/>
    <w:rsid w:val="00AC05AE"/>
    <w:rsid w:val="00AD0F30"/>
    <w:rsid w:val="00AD115D"/>
    <w:rsid w:val="00AD16AE"/>
    <w:rsid w:val="00AD6C53"/>
    <w:rsid w:val="00AE72F4"/>
    <w:rsid w:val="00AF0A4B"/>
    <w:rsid w:val="00AF3BF2"/>
    <w:rsid w:val="00AF4BBC"/>
    <w:rsid w:val="00AF5875"/>
    <w:rsid w:val="00AF65DE"/>
    <w:rsid w:val="00AF733C"/>
    <w:rsid w:val="00B04278"/>
    <w:rsid w:val="00B12672"/>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3A63"/>
    <w:rsid w:val="00C17E83"/>
    <w:rsid w:val="00C218A9"/>
    <w:rsid w:val="00C261F4"/>
    <w:rsid w:val="00C30C6F"/>
    <w:rsid w:val="00C408C7"/>
    <w:rsid w:val="00C40BE6"/>
    <w:rsid w:val="00C47EE0"/>
    <w:rsid w:val="00C534CA"/>
    <w:rsid w:val="00C63006"/>
    <w:rsid w:val="00C67568"/>
    <w:rsid w:val="00C7007B"/>
    <w:rsid w:val="00C71871"/>
    <w:rsid w:val="00C724F1"/>
    <w:rsid w:val="00C735F1"/>
    <w:rsid w:val="00C83265"/>
    <w:rsid w:val="00C913B6"/>
    <w:rsid w:val="00C91C5E"/>
    <w:rsid w:val="00C92E44"/>
    <w:rsid w:val="00CA4999"/>
    <w:rsid w:val="00CA6EA3"/>
    <w:rsid w:val="00CB15A7"/>
    <w:rsid w:val="00CB6D97"/>
    <w:rsid w:val="00CC09CE"/>
    <w:rsid w:val="00CD0E88"/>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42F"/>
    <w:rsid w:val="00D5391C"/>
    <w:rsid w:val="00D55C24"/>
    <w:rsid w:val="00D55FAB"/>
    <w:rsid w:val="00D56786"/>
    <w:rsid w:val="00D61EAB"/>
    <w:rsid w:val="00D6706B"/>
    <w:rsid w:val="00D701D3"/>
    <w:rsid w:val="00D724F9"/>
    <w:rsid w:val="00D7445F"/>
    <w:rsid w:val="00D75F31"/>
    <w:rsid w:val="00D91E8D"/>
    <w:rsid w:val="00D92B1D"/>
    <w:rsid w:val="00D93FEB"/>
    <w:rsid w:val="00DB0323"/>
    <w:rsid w:val="00DB04CF"/>
    <w:rsid w:val="00DB1FA7"/>
    <w:rsid w:val="00DB3BFC"/>
    <w:rsid w:val="00DC0E31"/>
    <w:rsid w:val="00DC1319"/>
    <w:rsid w:val="00DC4FEF"/>
    <w:rsid w:val="00DC70D0"/>
    <w:rsid w:val="00DC7DD6"/>
    <w:rsid w:val="00DD3971"/>
    <w:rsid w:val="00DE2A3F"/>
    <w:rsid w:val="00DF5F45"/>
    <w:rsid w:val="00E03E65"/>
    <w:rsid w:val="00E06B55"/>
    <w:rsid w:val="00E13146"/>
    <w:rsid w:val="00E174FC"/>
    <w:rsid w:val="00E20070"/>
    <w:rsid w:val="00E20994"/>
    <w:rsid w:val="00E21701"/>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D30DF"/>
    <w:rsid w:val="00EE2068"/>
    <w:rsid w:val="00EE4A18"/>
    <w:rsid w:val="00EF1F69"/>
    <w:rsid w:val="00EF61D1"/>
    <w:rsid w:val="00F05333"/>
    <w:rsid w:val="00F1311C"/>
    <w:rsid w:val="00F154D0"/>
    <w:rsid w:val="00F20956"/>
    <w:rsid w:val="00F20DFF"/>
    <w:rsid w:val="00F246F5"/>
    <w:rsid w:val="00F261D6"/>
    <w:rsid w:val="00F26D45"/>
    <w:rsid w:val="00F30C84"/>
    <w:rsid w:val="00F3461F"/>
    <w:rsid w:val="00F35704"/>
    <w:rsid w:val="00F35911"/>
    <w:rsid w:val="00F35DD7"/>
    <w:rsid w:val="00F41D99"/>
    <w:rsid w:val="00F42D43"/>
    <w:rsid w:val="00F463C9"/>
    <w:rsid w:val="00F57965"/>
    <w:rsid w:val="00F62C88"/>
    <w:rsid w:val="00F71810"/>
    <w:rsid w:val="00F72ABE"/>
    <w:rsid w:val="00F72B1B"/>
    <w:rsid w:val="00F7596C"/>
    <w:rsid w:val="00F75F2B"/>
    <w:rsid w:val="00F76733"/>
    <w:rsid w:val="00F76A86"/>
    <w:rsid w:val="00F77E12"/>
    <w:rsid w:val="00F814DE"/>
    <w:rsid w:val="00F86EE6"/>
    <w:rsid w:val="00F90045"/>
    <w:rsid w:val="00F91678"/>
    <w:rsid w:val="00F925FE"/>
    <w:rsid w:val="00F959A1"/>
    <w:rsid w:val="00FA0472"/>
    <w:rsid w:val="00FA28D1"/>
    <w:rsid w:val="00FA6558"/>
    <w:rsid w:val="00FB2665"/>
    <w:rsid w:val="00FB5F8D"/>
    <w:rsid w:val="00FC377E"/>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31A75"/>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9ABB5-3672-4492-9827-F032117A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5155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25</cp:revision>
  <cp:lastPrinted>2018-09-28T20:14:00Z</cp:lastPrinted>
  <dcterms:created xsi:type="dcterms:W3CDTF">2019-04-27T04:39:00Z</dcterms:created>
  <dcterms:modified xsi:type="dcterms:W3CDTF">2019-05-03T17:30:00Z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